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binary" PartName="/gd/metadata"/>
  <Override ContentType="application/binary" PartName="/gd/snapshot"/>
  <Override ContentType="application/binary" PartName="/gd/signature"/>
  <Override ContentType="application/binary" PartName="/gd/debuginfo"/>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72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tab/>
      </w:r>
      <w:r w:rsidDel="00000000" w:rsidR="00000000" w:rsidRPr="00000000">
        <w:rPr>
          <w:rFonts w:ascii="Times New Roman" w:cs="Times New Roman" w:eastAsia="Times New Roman" w:hAnsi="Times New Roman"/>
          <w:sz w:val="24"/>
          <w:szCs w:val="24"/>
          <w:rtl w:val="0"/>
        </w:rPr>
        <w:t xml:space="preserve">Text Amendment Application No. XXX</w:t>
      </w:r>
    </w:p>
    <w:p w:rsidR="00000000" w:rsidDel="00000000" w:rsidP="00000000" w:rsidRDefault="00000000" w:rsidRPr="00000000" w14:paraId="00000002">
      <w:pPr>
        <w:spacing w:line="240" w:lineRule="auto"/>
        <w:ind w:left="4320" w:hanging="288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r>
      <w:r w:rsidDel="00000000" w:rsidR="00000000" w:rsidRPr="00000000">
        <w:rPr>
          <w:rFonts w:ascii="Times New Roman" w:cs="Times New Roman" w:eastAsia="Times New Roman" w:hAnsi="Times New Roman"/>
          <w:sz w:val="24"/>
          <w:szCs w:val="24"/>
          <w:rtl w:val="0"/>
        </w:rPr>
        <w:t xml:space="preserve">Boston Redevelopment Authority, d/b/a/ Boston Planning and Development Agency</w:t>
      </w:r>
    </w:p>
    <w:p w:rsidR="00000000" w:rsidDel="00000000" w:rsidP="00000000" w:rsidRDefault="00000000" w:rsidRPr="00000000" w14:paraId="00000003">
      <w:pPr>
        <w:spacing w:line="240" w:lineRule="auto"/>
        <w:ind w:left="4320" w:hanging="288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r>
      <w:r w:rsidDel="00000000" w:rsidR="00000000" w:rsidRPr="00000000">
        <w:rPr>
          <w:rFonts w:ascii="Times New Roman" w:cs="Times New Roman" w:eastAsia="Times New Roman" w:hAnsi="Times New Roman"/>
          <w:sz w:val="24"/>
          <w:szCs w:val="24"/>
          <w:rtl w:val="0"/>
        </w:rPr>
        <w:t xml:space="preserve">Article 64-29 Planned Development Areas: Use and Dimensional Regulations and 64-41 Definitions</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tab/>
        <w:tab/>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ZONING COMMISSION OF THE CITY OF BOSTON:</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Boston Redevelopment Authority, d/b/a/ Boston Planning and Development Agency hereby petitions the City of Boston Zoning Commission to amend the text of the Boston Zoning Code, as established under Chapter 665 of the Acts of 1956, as amended, as follows:</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left="1080" w:firstLine="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Article 2, DEFINITIONS, </w:t>
      </w:r>
      <w:r w:rsidDel="00000000" w:rsidR="00000000" w:rsidRPr="00000000">
        <w:rPr>
          <w:rFonts w:ascii="Times New Roman" w:cs="Times New Roman" w:eastAsia="Times New Roman" w:hAnsi="Times New Roman"/>
          <w:sz w:val="24"/>
          <w:szCs w:val="24"/>
          <w:u w:val="single"/>
          <w:rtl w:val="0"/>
        </w:rPr>
        <w:t xml:space="preserve">insert </w:t>
      </w:r>
      <w:r w:rsidDel="00000000" w:rsidR="00000000" w:rsidRPr="00000000">
        <w:rPr>
          <w:rFonts w:ascii="Times New Roman" w:cs="Times New Roman" w:eastAsia="Times New Roman" w:hAnsi="Times New Roman"/>
          <w:sz w:val="24"/>
          <w:szCs w:val="24"/>
          <w:rtl w:val="0"/>
        </w:rPr>
        <w:t xml:space="preserve">the following new definition: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sz w:val="24"/>
          <w:szCs w:val="24"/>
          <w:rtl w:val="0"/>
        </w:rPr>
        <w:t xml:space="preserve">FAR.</w:t>
      </w:r>
      <w:r w:rsidDel="00000000" w:rsidR="00000000" w:rsidRPr="00000000">
        <w:rPr>
          <w:rFonts w:ascii="Times New Roman" w:cs="Times New Roman" w:eastAsia="Times New Roman" w:hAnsi="Times New Roman"/>
          <w:sz w:val="24"/>
          <w:szCs w:val="24"/>
          <w:rtl w:val="0"/>
        </w:rPr>
        <w:t xml:space="preserve"> Floor area ratio.</w:t>
      </w:r>
    </w:p>
    <w:p w:rsidR="00000000" w:rsidDel="00000000" w:rsidP="00000000" w:rsidRDefault="00000000" w:rsidRPr="00000000" w14:paraId="0000000F">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Article 2, DEFINITIONS, </w:t>
      </w:r>
      <w:r w:rsidDel="00000000" w:rsidR="00000000" w:rsidRPr="00000000">
        <w:rPr>
          <w:rFonts w:ascii="Times New Roman" w:cs="Times New Roman" w:eastAsia="Times New Roman" w:hAnsi="Times New Roman"/>
          <w:sz w:val="24"/>
          <w:szCs w:val="24"/>
          <w:u w:val="single"/>
          <w:rtl w:val="0"/>
        </w:rPr>
        <w:t xml:space="preserve">insert </w:t>
      </w:r>
      <w:r w:rsidDel="00000000" w:rsidR="00000000" w:rsidRPr="00000000">
        <w:rPr>
          <w:rFonts w:ascii="Times New Roman" w:cs="Times New Roman" w:eastAsia="Times New Roman" w:hAnsi="Times New Roman"/>
          <w:sz w:val="24"/>
          <w:szCs w:val="24"/>
          <w:rtl w:val="0"/>
        </w:rPr>
        <w:t xml:space="preserve">the following new definition: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12">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Filled Tidelands.</w:t>
      </w:r>
      <w:r w:rsidDel="00000000" w:rsidR="00000000" w:rsidRPr="00000000">
        <w:rPr>
          <w:rFonts w:ascii="Times New Roman" w:cs="Times New Roman" w:eastAsia="Times New Roman" w:hAnsi="Times New Roman"/>
          <w:sz w:val="24"/>
          <w:szCs w:val="24"/>
          <w:rtl w:val="0"/>
        </w:rPr>
        <w:t xml:space="preserve"> Former submerged lands and tidal flats which are no longer subject to tidal action due to the presence of fill.”</w:t>
      </w:r>
    </w:p>
    <w:p w:rsidR="00000000" w:rsidDel="00000000" w:rsidP="00000000" w:rsidRDefault="00000000" w:rsidRPr="00000000" w14:paraId="00000013">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Article 2, DEFINITIONS, </w:t>
      </w:r>
      <w:r w:rsidDel="00000000" w:rsidR="00000000" w:rsidRPr="00000000">
        <w:rPr>
          <w:rFonts w:ascii="Times New Roman" w:cs="Times New Roman" w:eastAsia="Times New Roman" w:hAnsi="Times New Roman"/>
          <w:sz w:val="24"/>
          <w:szCs w:val="24"/>
          <w:u w:val="single"/>
          <w:rtl w:val="0"/>
        </w:rPr>
        <w:t xml:space="preserve">delete </w:t>
      </w:r>
      <w:r w:rsidDel="00000000" w:rsidR="00000000" w:rsidRPr="00000000">
        <w:rPr>
          <w:rFonts w:ascii="Times New Roman" w:cs="Times New Roman" w:eastAsia="Times New Roman" w:hAnsi="Times New Roman"/>
          <w:sz w:val="24"/>
          <w:szCs w:val="24"/>
          <w:rtl w:val="0"/>
        </w:rPr>
        <w:t xml:space="preserve"> the definition of  "Floor area ratio" and </w:t>
      </w:r>
      <w:r w:rsidDel="00000000" w:rsidR="00000000" w:rsidRPr="00000000">
        <w:rPr>
          <w:rFonts w:ascii="Times New Roman" w:cs="Times New Roman" w:eastAsia="Times New Roman" w:hAnsi="Times New Roman"/>
          <w:sz w:val="24"/>
          <w:szCs w:val="24"/>
          <w:u w:val="single"/>
          <w:rtl w:val="0"/>
        </w:rPr>
        <w:t xml:space="preserve">insert </w:t>
      </w:r>
      <w:r w:rsidDel="00000000" w:rsidR="00000000" w:rsidRPr="00000000">
        <w:rPr>
          <w:rFonts w:ascii="Times New Roman" w:cs="Times New Roman" w:eastAsia="Times New Roman" w:hAnsi="Times New Roman"/>
          <w:sz w:val="24"/>
          <w:szCs w:val="24"/>
          <w:rtl w:val="0"/>
        </w:rPr>
        <w:t xml:space="preserve">the following new definition: </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r>
      <w:r w:rsidDel="00000000" w:rsidR="00000000" w:rsidRPr="00000000">
        <w:rPr>
          <w:rtl w:val="0"/>
        </w:rPr>
      </w:r>
    </w:p>
    <w:p w:rsidR="00000000" w:rsidDel="00000000" w:rsidP="00000000" w:rsidRDefault="00000000" w:rsidRPr="00000000" w14:paraId="00000016">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Floor Area Ratio</w:t>
      </w:r>
      <w:r w:rsidDel="00000000" w:rsidR="00000000" w:rsidRPr="00000000">
        <w:rPr>
          <w:rFonts w:ascii="Times New Roman" w:cs="Times New Roman" w:eastAsia="Times New Roman" w:hAnsi="Times New Roman"/>
          <w:sz w:val="24"/>
          <w:szCs w:val="24"/>
          <w:rtl w:val="0"/>
        </w:rPr>
        <w:t xml:space="preserve">. The ratio of gross floor area of a structure to the total area of the lot. </w:t>
      </w:r>
      <w:r w:rsidDel="00000000" w:rsidR="00000000" w:rsidRPr="00000000">
        <w:rPr>
          <w:rFonts w:ascii="Times New Roman" w:cs="Times New Roman" w:eastAsia="Times New Roman" w:hAnsi="Times New Roman"/>
          <w:sz w:val="24"/>
          <w:szCs w:val="24"/>
          <w:rtl w:val="0"/>
        </w:rPr>
        <w:t xml:space="preserve">Except as otherwise provided in this Code, the ratio which the gross floor area of all structures on a lot exclusive of floor area required to meet the off-street parking requirements of this Code bears to the lot area shall not exceed the maximum floor area ratio specified in this Code. In calculating the lot area for the purpose of determining floor area ratio, the following parts of the lot shall be excluded:</w:t>
      </w:r>
    </w:p>
    <w:p w:rsidR="00000000" w:rsidDel="00000000" w:rsidP="00000000" w:rsidRDefault="00000000" w:rsidRPr="00000000" w14:paraId="00000017">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every part required by any other structure or use to comply with any requirements of this Code, and</w:t>
      </w:r>
    </w:p>
    <w:p w:rsidR="00000000" w:rsidDel="00000000" w:rsidP="00000000" w:rsidRDefault="00000000" w:rsidRPr="00000000" w14:paraId="00000019">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every part the ownership of which is transferred subsequent to the effective date of this Code if such part is required for compliance with the provisions of this Code concerning minimum lot size, lot width, lot frontage, minimum usable open space per dwelling unit, and front yard, side yard, and rear yard inclusive, applicable to the lot from which such transfer is made. (Illustrated in Appendix 2 of this Code.), and</w:t>
      </w:r>
    </w:p>
    <w:p w:rsidR="00000000" w:rsidDel="00000000" w:rsidP="00000000" w:rsidRDefault="00000000" w:rsidRPr="00000000" w14:paraId="0000001B">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before="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area of water and associated submerged land or tidal flat lying below the</w:t>
        <w:tab/>
      </w:r>
    </w:p>
    <w:p w:rsidR="00000000" w:rsidDel="00000000" w:rsidP="00000000" w:rsidRDefault="00000000" w:rsidRPr="00000000" w14:paraId="0000001D">
      <w:pPr>
        <w:spacing w:after="240" w:before="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water mark of any navigable river or stream, any Great Pond, or any portion of the Atlantic Ocean within Boston.</w:t>
      </w:r>
    </w:p>
    <w:p w:rsidR="00000000" w:rsidDel="00000000" w:rsidP="00000000" w:rsidRDefault="00000000" w:rsidRPr="00000000" w14:paraId="0000001E">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Article 2, DEFINITIONS,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delete</w:t>
      </w:r>
      <w:r w:rsidDel="00000000" w:rsidR="00000000" w:rsidRPr="00000000">
        <w:rPr>
          <w:rFonts w:ascii="Times New Roman" w:cs="Times New Roman" w:eastAsia="Times New Roman" w:hAnsi="Times New Roman"/>
          <w:sz w:val="24"/>
          <w:szCs w:val="24"/>
          <w:rtl w:val="0"/>
        </w:rPr>
        <w:t xml:space="preserve"> the term “Floor area, gross” and </w:t>
      </w:r>
      <w:r w:rsidDel="00000000" w:rsidR="00000000" w:rsidRPr="00000000">
        <w:rPr>
          <w:rFonts w:ascii="Times New Roman" w:cs="Times New Roman" w:eastAsia="Times New Roman" w:hAnsi="Times New Roman"/>
          <w:sz w:val="24"/>
          <w:szCs w:val="24"/>
          <w:u w:val="single"/>
          <w:rtl w:val="0"/>
        </w:rPr>
        <w:t xml:space="preserve">insert</w:t>
      </w:r>
      <w:r w:rsidDel="00000000" w:rsidR="00000000" w:rsidRPr="00000000">
        <w:rPr>
          <w:rFonts w:ascii="Times New Roman" w:cs="Times New Roman" w:eastAsia="Times New Roman" w:hAnsi="Times New Roman"/>
          <w:sz w:val="24"/>
          <w:szCs w:val="24"/>
          <w:rtl w:val="0"/>
        </w:rPr>
        <w:t xml:space="preserve"> “Floor Area, Gross” with the same definition. </w:t>
      </w:r>
    </w:p>
    <w:p w:rsidR="00000000" w:rsidDel="00000000" w:rsidP="00000000" w:rsidRDefault="00000000" w:rsidRPr="00000000" w14:paraId="0000002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Article 2, DEFINITIONS, in the definition of “Floor area, gross”, subsection (a), </w:t>
      </w:r>
      <w:r w:rsidDel="00000000" w:rsidR="00000000" w:rsidRPr="00000000">
        <w:rPr>
          <w:rFonts w:ascii="Times New Roman" w:cs="Times New Roman" w:eastAsia="Times New Roman" w:hAnsi="Times New Roman"/>
          <w:sz w:val="24"/>
          <w:szCs w:val="24"/>
          <w:rtl w:val="0"/>
        </w:rPr>
        <w:t xml:space="preserve">after the words “in the case of garage space accessory to a dwelling, is at grade,” </w:t>
      </w:r>
      <w:r w:rsidDel="00000000" w:rsidR="00000000" w:rsidRPr="00000000">
        <w:rPr>
          <w:rFonts w:ascii="Times New Roman" w:cs="Times New Roman" w:eastAsia="Times New Roman" w:hAnsi="Times New Roman"/>
          <w:sz w:val="24"/>
          <w:szCs w:val="24"/>
          <w:u w:val="single"/>
          <w:rtl w:val="0"/>
        </w:rPr>
        <w:t xml:space="preserve">insert </w:t>
      </w:r>
      <w:r w:rsidDel="00000000" w:rsidR="00000000" w:rsidRPr="00000000">
        <w:rPr>
          <w:rFonts w:ascii="Times New Roman" w:cs="Times New Roman" w:eastAsia="Times New Roman" w:hAnsi="Times New Roman"/>
          <w:sz w:val="24"/>
          <w:szCs w:val="24"/>
          <w:rtl w:val="0"/>
        </w:rPr>
        <w:t xml:space="preserve">the following:</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above grade parking shall be included in gross floor area,</w:t>
      </w:r>
    </w:p>
    <w:p w:rsidR="00000000" w:rsidDel="00000000" w:rsidP="00000000" w:rsidRDefault="00000000" w:rsidRPr="00000000" w14:paraId="00000024">
      <w:pPr>
        <w:spacing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Article 2, DEFINITIONS, in the definition of “Floor area, gross”, subsection (b), </w:t>
      </w:r>
      <w:r w:rsidDel="00000000" w:rsidR="00000000" w:rsidRPr="00000000">
        <w:rPr>
          <w:rFonts w:ascii="Times New Roman" w:cs="Times New Roman" w:eastAsia="Times New Roman" w:hAnsi="Times New Roman"/>
          <w:sz w:val="24"/>
          <w:szCs w:val="24"/>
          <w:rtl w:val="0"/>
        </w:rPr>
        <w:t xml:space="preserve">after the words “basement and cellar areas devoted exclusively to uses accessory to the operation of the structure,” </w:t>
      </w:r>
      <w:r w:rsidDel="00000000" w:rsidR="00000000" w:rsidRPr="00000000">
        <w:rPr>
          <w:rFonts w:ascii="Times New Roman" w:cs="Times New Roman" w:eastAsia="Times New Roman" w:hAnsi="Times New Roman"/>
          <w:sz w:val="24"/>
          <w:szCs w:val="24"/>
          <w:u w:val="single"/>
          <w:rtl w:val="0"/>
        </w:rPr>
        <w:t xml:space="preserve">delete</w:t>
      </w:r>
      <w:r w:rsidDel="00000000" w:rsidR="00000000" w:rsidRPr="00000000">
        <w:rPr>
          <w:rFonts w:ascii="Times New Roman" w:cs="Times New Roman" w:eastAsia="Times New Roman" w:hAnsi="Times New Roman"/>
          <w:sz w:val="24"/>
          <w:szCs w:val="24"/>
          <w:rtl w:val="0"/>
        </w:rPr>
        <w:t xml:space="preserve"> the following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and</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Article 2, DEFINITIONS, in the definition of “Floor area, gross”, subsection (c), </w:t>
      </w:r>
      <w:r w:rsidDel="00000000" w:rsidR="00000000" w:rsidRPr="00000000">
        <w:rPr>
          <w:rFonts w:ascii="Times New Roman" w:cs="Times New Roman" w:eastAsia="Times New Roman" w:hAnsi="Times New Roman"/>
          <w:sz w:val="24"/>
          <w:szCs w:val="24"/>
          <w:rtl w:val="0"/>
        </w:rPr>
        <w:t xml:space="preserve">after the last sentence, </w:t>
      </w:r>
      <w:r w:rsidDel="00000000" w:rsidR="00000000" w:rsidRPr="00000000">
        <w:rPr>
          <w:rFonts w:ascii="Times New Roman" w:cs="Times New Roman" w:eastAsia="Times New Roman" w:hAnsi="Times New Roman"/>
          <w:sz w:val="24"/>
          <w:szCs w:val="24"/>
          <w:u w:val="single"/>
          <w:rtl w:val="0"/>
        </w:rPr>
        <w:t xml:space="preserve">insert</w:t>
      </w:r>
      <w:r w:rsidDel="00000000" w:rsidR="00000000" w:rsidRPr="00000000">
        <w:rPr>
          <w:rFonts w:ascii="Times New Roman" w:cs="Times New Roman" w:eastAsia="Times New Roman" w:hAnsi="Times New Roman"/>
          <w:sz w:val="24"/>
          <w:szCs w:val="24"/>
          <w:rtl w:val="0"/>
        </w:rPr>
        <w:t xml:space="preserve"> the following:</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public transit improvements by or for a Public Agency within the Lot, above or below grade, including head houses and/or structures designated for use by, access to or egress from public transit services, provided that any exterior changes are subject to Small Project Review.</w:t>
      </w: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Article 2, DEFINITIONS, </w:t>
      </w:r>
      <w:r w:rsidDel="00000000" w:rsidR="00000000" w:rsidRPr="00000000">
        <w:rPr>
          <w:rFonts w:ascii="Times New Roman" w:cs="Times New Roman" w:eastAsia="Times New Roman" w:hAnsi="Times New Roman"/>
          <w:sz w:val="24"/>
          <w:szCs w:val="24"/>
          <w:u w:val="single"/>
          <w:rtl w:val="0"/>
        </w:rPr>
        <w:t xml:space="preserve">insert </w:t>
      </w:r>
      <w:r w:rsidDel="00000000" w:rsidR="00000000" w:rsidRPr="00000000">
        <w:rPr>
          <w:rFonts w:ascii="Times New Roman" w:cs="Times New Roman" w:eastAsia="Times New Roman" w:hAnsi="Times New Roman"/>
          <w:sz w:val="24"/>
          <w:szCs w:val="24"/>
          <w:rtl w:val="0"/>
        </w:rPr>
        <w:t xml:space="preserve">the following new definition: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31">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Flowed Tidelands. </w:t>
      </w:r>
      <w:r w:rsidDel="00000000" w:rsidR="00000000" w:rsidRPr="00000000">
        <w:rPr>
          <w:rFonts w:ascii="Times New Roman" w:cs="Times New Roman" w:eastAsia="Times New Roman" w:hAnsi="Times New Roman"/>
          <w:sz w:val="24"/>
          <w:szCs w:val="24"/>
          <w:rtl w:val="0"/>
        </w:rPr>
        <w:t xml:space="preserve">Present submerged lands and tidal flats which are subject to tidal action at the time of license application under Chapter 91.</w:t>
      </w:r>
    </w:p>
    <w:p w:rsidR="00000000" w:rsidDel="00000000" w:rsidP="00000000" w:rsidRDefault="00000000" w:rsidRPr="00000000" w14:paraId="0000003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Article 2a, DEFINITIONS APPLICABLE IN NEIGHBORHOOD DISTRICTS and in ARTICLE 80, DEVELOPMENT REVIEW AND APPROVAL, in the definition of “Floor Area, Gross”, subsection (a), </w:t>
      </w:r>
      <w:r w:rsidDel="00000000" w:rsidR="00000000" w:rsidRPr="00000000">
        <w:rPr>
          <w:rFonts w:ascii="Times New Roman" w:cs="Times New Roman" w:eastAsia="Times New Roman" w:hAnsi="Times New Roman"/>
          <w:sz w:val="24"/>
          <w:szCs w:val="24"/>
          <w:rtl w:val="0"/>
        </w:rPr>
        <w:t xml:space="preserve">after the words “in the case of garage space accessory to a dwelling, is at grade,” </w:t>
      </w:r>
      <w:r w:rsidDel="00000000" w:rsidR="00000000" w:rsidRPr="00000000">
        <w:rPr>
          <w:rFonts w:ascii="Times New Roman" w:cs="Times New Roman" w:eastAsia="Times New Roman" w:hAnsi="Times New Roman"/>
          <w:sz w:val="24"/>
          <w:szCs w:val="24"/>
          <w:u w:val="single"/>
          <w:rtl w:val="0"/>
        </w:rPr>
        <w:t xml:space="preserve">insert </w:t>
      </w:r>
      <w:r w:rsidDel="00000000" w:rsidR="00000000" w:rsidRPr="00000000">
        <w:rPr>
          <w:rFonts w:ascii="Times New Roman" w:cs="Times New Roman" w:eastAsia="Times New Roman" w:hAnsi="Times New Roman"/>
          <w:sz w:val="24"/>
          <w:szCs w:val="24"/>
          <w:rtl w:val="0"/>
        </w:rPr>
        <w:t xml:space="preserve">the following:</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however above grade parking shall be included in gross floor area,</w:t>
      </w:r>
      <w:r w:rsidDel="00000000" w:rsidR="00000000" w:rsidRPr="00000000">
        <w:rPr>
          <w:rtl w:val="0"/>
        </w:rPr>
      </w:r>
    </w:p>
    <w:p w:rsidR="00000000" w:rsidDel="00000000" w:rsidP="00000000" w:rsidRDefault="00000000" w:rsidRPr="00000000" w14:paraId="00000036">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2a, DEFINITIONS APPLICABLE IN NEIGHBORHOOD DISTRICTS and in ARTICLE 80, DEVELOPMENT REVIEW AND APPROVAL, in the definition of “Floor Area Ratio”, </w:t>
      </w:r>
      <w:r w:rsidDel="00000000" w:rsidR="00000000" w:rsidRPr="00000000">
        <w:rPr>
          <w:rFonts w:ascii="Times New Roman" w:cs="Times New Roman" w:eastAsia="Times New Roman" w:hAnsi="Times New Roman"/>
          <w:b w:val="1"/>
          <w:sz w:val="24"/>
          <w:szCs w:val="24"/>
          <w:rtl w:val="0"/>
        </w:rPr>
        <w:t xml:space="preserve">subsection (b), </w:t>
      </w:r>
      <w:r w:rsidDel="00000000" w:rsidR="00000000" w:rsidRPr="00000000">
        <w:rPr>
          <w:rFonts w:ascii="Times New Roman" w:cs="Times New Roman" w:eastAsia="Times New Roman" w:hAnsi="Times New Roman"/>
          <w:sz w:val="24"/>
          <w:szCs w:val="24"/>
          <w:rtl w:val="0"/>
        </w:rPr>
        <w:t xml:space="preserve">after the last sentence, </w:t>
      </w:r>
      <w:r w:rsidDel="00000000" w:rsidR="00000000" w:rsidRPr="00000000">
        <w:rPr>
          <w:rFonts w:ascii="Times New Roman" w:cs="Times New Roman" w:eastAsia="Times New Roman" w:hAnsi="Times New Roman"/>
          <w:sz w:val="24"/>
          <w:szCs w:val="24"/>
          <w:u w:val="single"/>
          <w:rtl w:val="0"/>
        </w:rPr>
        <w:t xml:space="preserve">insert</w:t>
      </w:r>
      <w:r w:rsidDel="00000000" w:rsidR="00000000" w:rsidRPr="00000000">
        <w:rPr>
          <w:rFonts w:ascii="Times New Roman" w:cs="Times New Roman" w:eastAsia="Times New Roman" w:hAnsi="Times New Roman"/>
          <w:sz w:val="24"/>
          <w:szCs w:val="24"/>
          <w:rtl w:val="0"/>
        </w:rPr>
        <w:t xml:space="preserve"> the following:</w:t>
      </w:r>
      <w:r w:rsidDel="00000000" w:rsidR="00000000" w:rsidRPr="00000000">
        <w:rPr>
          <w:rtl w:val="0"/>
        </w:rPr>
      </w:r>
    </w:p>
    <w:p w:rsidR="00000000" w:rsidDel="00000000" w:rsidP="00000000" w:rsidRDefault="00000000" w:rsidRPr="00000000" w14:paraId="00000038">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w:t>
      </w:r>
    </w:p>
    <w:p w:rsidR="00000000" w:rsidDel="00000000" w:rsidP="00000000" w:rsidRDefault="00000000" w:rsidRPr="00000000" w14:paraId="0000003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area of water and associated submerged land or tidal flat lying below the</w:t>
        <w:tab/>
      </w:r>
    </w:p>
    <w:p w:rsidR="00000000" w:rsidDel="00000000" w:rsidP="00000000" w:rsidRDefault="00000000" w:rsidRPr="00000000" w14:paraId="0000003C">
      <w:pPr>
        <w:spacing w:after="24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water mark of any navigable river or stream, any Great Pond, or any portion of the Atlantic Ocean within Boston.</w:t>
      </w:r>
    </w:p>
    <w:p w:rsidR="00000000" w:rsidDel="00000000" w:rsidP="00000000" w:rsidRDefault="00000000" w:rsidRPr="00000000" w14:paraId="0000003D">
      <w:pPr>
        <w:spacing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40" w:lineRule="auto"/>
        <w:ind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43">
      <w:pPr>
        <w:spacing w:line="240" w:lineRule="auto"/>
        <w:ind w:left="720" w:firstLine="0"/>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tabs>
          <w:tab w:val="left" w:pos="720"/>
          <w:tab w:val="left" w:pos="1440"/>
          <w:tab w:val="left" w:pos="2160"/>
          <w:tab w:val="left" w:pos="2880"/>
          <w:tab w:val="left" w:pos="3600"/>
          <w:tab w:val="left" w:pos="4320"/>
        </w:tabs>
        <w:spacing w:line="240" w:lineRule="auto"/>
        <w:ind w:left="432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r>
      <w:r w:rsidDel="00000000" w:rsidR="00000000" w:rsidRPr="00000000">
        <w:rPr>
          <w:rFonts w:ascii="Times New Roman" w:cs="Times New Roman" w:eastAsia="Times New Roman" w:hAnsi="Times New Roman"/>
          <w:sz w:val="24"/>
          <w:szCs w:val="24"/>
          <w:rtl w:val="0"/>
        </w:rPr>
        <w:t xml:space="preserve">Petitioner:</w:t>
      </w:r>
      <w:r w:rsidDel="00000000" w:rsidR="00000000" w:rsidRPr="00000000">
        <w:rPr>
          <w:rFonts w:ascii="Book Antiqua" w:cs="Book Antiqua" w:eastAsia="Book Antiqua" w:hAnsi="Book Antiqua"/>
          <w:sz w:val="24"/>
          <w:szCs w:val="24"/>
          <w:rtl w:val="0"/>
        </w:rPr>
        <w:tab/>
      </w:r>
      <w:r w:rsidDel="00000000" w:rsidR="00000000" w:rsidRPr="00000000">
        <w:rPr>
          <w:rFonts w:ascii="Times New Roman" w:cs="Times New Roman" w:eastAsia="Times New Roman" w:hAnsi="Times New Roman"/>
          <w:sz w:val="24"/>
          <w:szCs w:val="24"/>
          <w:u w:val="single"/>
          <w:rtl w:val="0"/>
        </w:rPr>
        <w:t xml:space="preserve">Boston Redevelopment Authority d/b/a/ Boston Planning and Development Agency</w:t>
      </w:r>
      <w:r w:rsidDel="00000000" w:rsidR="00000000" w:rsidRPr="00000000">
        <w:rPr>
          <w:rFonts w:ascii="Book Antiqua" w:cs="Book Antiqua" w:eastAsia="Book Antiqua" w:hAnsi="Book Antiqua"/>
          <w:sz w:val="24"/>
          <w:szCs w:val="24"/>
          <w:u w:val="single"/>
          <w:rtl w:val="0"/>
        </w:rPr>
        <w:tab/>
        <w:tab/>
        <w:tab/>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tabs>
          <w:tab w:val="left" w:pos="720"/>
          <w:tab w:val="left" w:pos="1440"/>
          <w:tab w:val="left" w:pos="2160"/>
          <w:tab w:val="left" w:pos="2880"/>
          <w:tab w:val="left" w:pos="3600"/>
          <w:tab w:val="left" w:pos="4320"/>
        </w:tabs>
        <w:spacing w:line="240" w:lineRule="auto"/>
        <w:ind w:left="504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Book Antiqua" w:cs="Book Antiqua" w:eastAsia="Book Antiqua" w:hAnsi="Book Antiqua"/>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Book Antiqua" w:cs="Book Antiqua" w:eastAsia="Book Antiqua" w:hAnsi="Book Antiqua"/>
          <w:sz w:val="24"/>
          <w:szCs w:val="24"/>
          <w:u w:val="single"/>
          <w:rtl w:val="0"/>
        </w:rPr>
        <w:tab/>
        <w:tab/>
      </w:r>
      <w:r w:rsidDel="00000000" w:rsidR="00000000" w:rsidRPr="00000000">
        <w:rPr>
          <w:rtl w:val="0"/>
        </w:rPr>
      </w:r>
    </w:p>
    <w:p w:rsidR="00000000" w:rsidDel="00000000" w:rsidP="00000000" w:rsidRDefault="00000000" w:rsidRPr="00000000" w14:paraId="00000049">
      <w:pPr>
        <w:widowControl w:val="0"/>
        <w:tabs>
          <w:tab w:val="left" w:pos="720"/>
          <w:tab w:val="left" w:pos="1440"/>
          <w:tab w:val="left" w:pos="2160"/>
          <w:tab w:val="left" w:pos="2880"/>
          <w:tab w:val="left" w:pos="3600"/>
          <w:tab w:val="left" w:pos="4320"/>
        </w:tabs>
        <w:spacing w:line="240" w:lineRule="auto"/>
        <w:ind w:left="504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tab/>
        <w:tab/>
      </w:r>
      <w:r w:rsidDel="00000000" w:rsidR="00000000" w:rsidRPr="00000000">
        <w:rPr>
          <w:rtl w:val="0"/>
        </w:rPr>
      </w:r>
    </w:p>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tabs>
          <w:tab w:val="left" w:pos="720"/>
          <w:tab w:val="left" w:pos="1440"/>
          <w:tab w:val="left" w:pos="2160"/>
          <w:tab w:val="left" w:pos="2880"/>
          <w:tab w:val="left" w:pos="3600"/>
          <w:tab w:val="left" w:pos="4320"/>
        </w:tabs>
        <w:spacing w:line="240" w:lineRule="auto"/>
        <w:ind w:left="5040"/>
        <w:rPr>
          <w:rFonts w:ascii="Times New Roman" w:cs="Times New Roman" w:eastAsia="Times New Roman" w:hAnsi="Times New Roman"/>
          <w:sz w:val="24"/>
          <w:szCs w:val="24"/>
          <w:u w:val="single"/>
        </w:rPr>
      </w:pPr>
      <w:r w:rsidDel="00000000" w:rsidR="00000000" w:rsidRPr="00000000">
        <w:rPr>
          <w:rFonts w:ascii="Book Antiqua" w:cs="Book Antiqua" w:eastAsia="Book Antiqua" w:hAnsi="Book Antiqua"/>
          <w:sz w:val="24"/>
          <w:szCs w:val="24"/>
          <w:rtl w:val="0"/>
        </w:rPr>
        <w:tab/>
        <w:tab/>
        <w:tab/>
        <w:tab/>
      </w:r>
      <w:r w:rsidDel="00000000" w:rsidR="00000000" w:rsidRPr="00000000">
        <w:rPr>
          <w:rFonts w:ascii="Times New Roman" w:cs="Times New Roman" w:eastAsia="Times New Roman" w:hAnsi="Times New Roman"/>
          <w:sz w:val="24"/>
          <w:szCs w:val="24"/>
          <w:rtl w:val="0"/>
        </w:rPr>
        <w:t xml:space="preserve">Address:</w:t>
      </w:r>
      <w:r w:rsidDel="00000000" w:rsidR="00000000" w:rsidRPr="00000000">
        <w:rPr>
          <w:rFonts w:ascii="Book Antiqua" w:cs="Book Antiqua" w:eastAsia="Book Antiqua" w:hAnsi="Book Antiqua"/>
          <w:sz w:val="24"/>
          <w:szCs w:val="24"/>
          <w:rtl w:val="0"/>
        </w:rPr>
        <w:tab/>
      </w:r>
      <w:r w:rsidDel="00000000" w:rsidR="00000000" w:rsidRPr="00000000">
        <w:rPr>
          <w:rFonts w:ascii="Times New Roman" w:cs="Times New Roman" w:eastAsia="Times New Roman" w:hAnsi="Times New Roman"/>
          <w:sz w:val="24"/>
          <w:szCs w:val="24"/>
          <w:u w:val="single"/>
          <w:rtl w:val="0"/>
        </w:rPr>
        <w:t xml:space="preserve">City Hall/ 9th Floor                             </w:t>
      </w:r>
      <w:r w:rsidDel="00000000" w:rsidR="00000000" w:rsidRPr="00000000">
        <w:rPr>
          <w:rFonts w:ascii="Book Antiqua" w:cs="Book Antiqua" w:eastAsia="Book Antiqua" w:hAnsi="Book Antiqua"/>
          <w:sz w:val="24"/>
          <w:szCs w:val="24"/>
          <w:u w:val="single"/>
          <w:rtl w:val="0"/>
        </w:rPr>
        <w:tab/>
      </w: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tabs>
          <w:tab w:val="left" w:pos="720"/>
          <w:tab w:val="left" w:pos="1440"/>
          <w:tab w:val="left" w:pos="2160"/>
          <w:tab w:val="left" w:pos="2880"/>
          <w:tab w:val="left" w:pos="3600"/>
          <w:tab w:val="left" w:pos="4320"/>
        </w:tabs>
        <w:spacing w:line="240" w:lineRule="auto"/>
        <w:ind w:left="504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tab/>
        <w:tab/>
      </w:r>
      <w:r w:rsidDel="00000000" w:rsidR="00000000" w:rsidRPr="00000000">
        <w:rPr>
          <w:rFonts w:ascii="Times New Roman" w:cs="Times New Roman" w:eastAsia="Times New Roman" w:hAnsi="Times New Roman"/>
          <w:sz w:val="24"/>
          <w:szCs w:val="24"/>
          <w:u w:val="single"/>
          <w:rtl w:val="0"/>
        </w:rPr>
        <w:t xml:space="preserve">Boston, MA 02201-1007                     </w:t>
      </w:r>
      <w:r w:rsidDel="00000000" w:rsidR="00000000" w:rsidRPr="00000000">
        <w:rPr>
          <w:rFonts w:ascii="Book Antiqua" w:cs="Book Antiqua" w:eastAsia="Book Antiqua" w:hAnsi="Book Antiqua"/>
          <w:sz w:val="24"/>
          <w:szCs w:val="24"/>
          <w:u w:val="single"/>
          <w:rtl w:val="0"/>
        </w:rPr>
        <w:tab/>
      </w: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tabs>
          <w:tab w:val="left" w:pos="720"/>
          <w:tab w:val="left" w:pos="1440"/>
          <w:tab w:val="left" w:pos="2160"/>
          <w:tab w:val="left" w:pos="2880"/>
          <w:tab w:val="left" w:pos="3600"/>
          <w:tab w:val="left" w:pos="4320"/>
        </w:tabs>
        <w:spacing w:line="240" w:lineRule="auto"/>
        <w:ind w:left="504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r>
      <w:r w:rsidDel="00000000" w:rsidR="00000000" w:rsidRPr="00000000">
        <w:rPr>
          <w:rFonts w:ascii="Times New Roman" w:cs="Times New Roman" w:eastAsia="Times New Roman" w:hAnsi="Times New Roman"/>
          <w:sz w:val="24"/>
          <w:szCs w:val="24"/>
          <w:rtl w:val="0"/>
        </w:rPr>
        <w:t xml:space="preserve">Tel. No.:</w:t>
      </w:r>
      <w:r w:rsidDel="00000000" w:rsidR="00000000" w:rsidRPr="00000000">
        <w:rPr>
          <w:rFonts w:ascii="Book Antiqua" w:cs="Book Antiqua" w:eastAsia="Book Antiqua" w:hAnsi="Book Antiqua"/>
          <w:sz w:val="24"/>
          <w:szCs w:val="24"/>
          <w:rtl w:val="0"/>
        </w:rPr>
        <w:tab/>
      </w:r>
      <w:r w:rsidDel="00000000" w:rsidR="00000000" w:rsidRPr="00000000">
        <w:rPr>
          <w:rFonts w:ascii="Times New Roman" w:cs="Times New Roman" w:eastAsia="Times New Roman" w:hAnsi="Times New Roman"/>
          <w:sz w:val="24"/>
          <w:szCs w:val="24"/>
          <w:u w:val="single"/>
          <w:rtl w:val="0"/>
        </w:rPr>
        <w:t xml:space="preserve">(617) 722-4300, ext. 4308                   </w:t>
      </w:r>
      <w:r w:rsidDel="00000000" w:rsidR="00000000" w:rsidRPr="00000000">
        <w:rPr>
          <w:rFonts w:ascii="Book Antiqua" w:cs="Book Antiqua" w:eastAsia="Book Antiqua" w:hAnsi="Book Antiqua"/>
          <w:sz w:val="24"/>
          <w:szCs w:val="24"/>
          <w:u w:val="single"/>
          <w:rtl w:val="0"/>
        </w:rPr>
        <w:tab/>
        <w:tab/>
      </w:r>
      <w:r w:rsidDel="00000000" w:rsidR="00000000" w:rsidRPr="00000000">
        <w:rPr>
          <w:rtl w:val="0"/>
        </w:rPr>
      </w:r>
    </w:p>
    <w:p w:rsidR="00000000" w:rsidDel="00000000" w:rsidP="00000000" w:rsidRDefault="00000000" w:rsidRPr="00000000" w14:paraId="00000050">
      <w:pPr>
        <w:widowControl w:val="0"/>
        <w:tabs>
          <w:tab w:val="left" w:pos="720"/>
          <w:tab w:val="left" w:pos="1440"/>
          <w:tab w:val="left" w:pos="2160"/>
          <w:tab w:val="left" w:pos="2880"/>
          <w:tab w:val="left" w:pos="3600"/>
          <w:tab w:val="left" w:pos="4320"/>
        </w:tabs>
        <w:spacing w:line="240" w:lineRule="auto"/>
        <w:ind w:left="50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tabs>
          <w:tab w:val="left" w:pos="720"/>
          <w:tab w:val="left" w:pos="1440"/>
          <w:tab w:val="left" w:pos="2160"/>
          <w:tab w:val="left" w:pos="2880"/>
          <w:tab w:val="left" w:pos="3600"/>
          <w:tab w:val="left" w:pos="4320"/>
        </w:tabs>
        <w:spacing w:line="240" w:lineRule="auto"/>
        <w:ind w:left="504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r>
      <w:r w:rsidDel="00000000" w:rsidR="00000000" w:rsidRPr="00000000">
        <w:rPr>
          <w:rFonts w:ascii="Times New Roman" w:cs="Times New Roman" w:eastAsia="Times New Roman" w:hAnsi="Times New Roman"/>
          <w:sz w:val="24"/>
          <w:szCs w:val="24"/>
          <w:rtl w:val="0"/>
        </w:rPr>
        <w:t xml:space="preserve">Date:</w:t>
      </w:r>
      <w:r w:rsidDel="00000000" w:rsidR="00000000" w:rsidRPr="00000000">
        <w:rPr>
          <w:rFonts w:ascii="Book Antiqua" w:cs="Book Antiqua" w:eastAsia="Book Antiqua" w:hAnsi="Book Antiqua"/>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Book Antiqua" w:cs="Book Antiqua" w:eastAsia="Book Antiqua" w:hAnsi="Book Antiqua"/>
          <w:sz w:val="24"/>
          <w:szCs w:val="24"/>
          <w:u w:val="single"/>
          <w:rtl w:val="0"/>
        </w:rPr>
        <w:tab/>
        <w:tab/>
        <w:t xml:space="preserve">.</w:t>
      </w:r>
      <w:r w:rsidDel="00000000" w:rsidR="00000000" w:rsidRPr="00000000">
        <w:rPr>
          <w:rtl w:val="0"/>
        </w:rPr>
      </w:r>
    </w:p>
    <w:p w:rsidR="00000000" w:rsidDel="00000000" w:rsidP="00000000" w:rsidRDefault="00000000" w:rsidRPr="00000000" w14:paraId="00000052">
      <w:pPr>
        <w:widowControl w:val="0"/>
        <w:tabs>
          <w:tab w:val="left" w:pos="720"/>
          <w:tab w:val="left" w:pos="1440"/>
          <w:tab w:val="left" w:pos="2160"/>
          <w:tab w:val="left" w:pos="2880"/>
          <w:tab w:val="left" w:pos="3600"/>
          <w:tab w:val="left" w:pos="4320"/>
        </w:tabs>
        <w:spacing w:line="240" w:lineRule="auto"/>
        <w:ind w:left="4320"/>
        <w:rPr>
          <w:rFonts w:ascii="Times New Roman" w:cs="Times New Roman" w:eastAsia="Times New Roman" w:hAnsi="Times New Roman"/>
          <w:sz w:val="24"/>
          <w:szCs w:val="24"/>
        </w:rPr>
      </w:pPr>
      <w:r w:rsidDel="00000000" w:rsidR="00000000" w:rsidRPr="00000000">
        <w:rPr>
          <w:rFonts w:ascii="Book Antiqua" w:cs="Book Antiqua" w:eastAsia="Book Antiqua" w:hAnsi="Book Antiqua"/>
          <w:sz w:val="24"/>
          <w:szCs w:val="24"/>
          <w:rtl w:val="0"/>
        </w:rPr>
        <w:tab/>
        <w:tab/>
        <w:tab/>
        <w:tab/>
        <w:tab/>
        <w:tab/>
      </w:r>
      <w:r w:rsidDel="00000000" w:rsidR="00000000" w:rsidRPr="00000000">
        <w:rPr>
          <w:rFonts w:ascii="Times New Roman" w:cs="Times New Roman" w:eastAsia="Times New Roman" w:hAnsi="Times New Roman"/>
          <w:sz w:val="24"/>
          <w:szCs w:val="24"/>
          <w:rtl w:val="0"/>
        </w:rPr>
        <w:t xml:space="preserve">as authorized by the BPDA Board at its meeting of </w:t>
      </w:r>
    </w:p>
    <w:p w:rsidR="00000000" w:rsidDel="00000000" w:rsidP="00000000" w:rsidRDefault="00000000" w:rsidRPr="00000000" w14:paraId="00000053">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